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4AC6B0" w14:textId="77777777" w:rsidR="00412EDC" w:rsidRPr="00680733" w:rsidRDefault="00412EDC" w:rsidP="00680733">
      <w:pPr>
        <w:spacing w:line="480" w:lineRule="auto"/>
        <w:rPr>
          <w:rFonts w:ascii="Times New Roman" w:hAnsi="Times New Roman" w:cs="Times New Roman"/>
          <w:sz w:val="24"/>
          <w:szCs w:val="24"/>
        </w:rPr>
      </w:pPr>
    </w:p>
    <w:p w14:paraId="52E509A8" w14:textId="0CC20DAD" w:rsidR="00F66E82" w:rsidRDefault="00452A41" w:rsidP="0061799E">
      <w:pPr>
        <w:spacing w:line="480" w:lineRule="auto"/>
        <w:jc w:val="center"/>
        <w:rPr>
          <w:rFonts w:ascii="Times New Roman" w:hAnsi="Times New Roman" w:cs="Times New Roman"/>
          <w:sz w:val="24"/>
          <w:szCs w:val="24"/>
        </w:rPr>
      </w:pPr>
      <w:r>
        <w:rPr>
          <w:rFonts w:ascii="Times New Roman" w:hAnsi="Times New Roman" w:cs="Times New Roman"/>
          <w:sz w:val="24"/>
          <w:szCs w:val="24"/>
        </w:rPr>
        <w:t>Mrs. Brown</w:t>
      </w:r>
      <w:r w:rsidR="00F66E82">
        <w:rPr>
          <w:rFonts w:ascii="Times New Roman" w:hAnsi="Times New Roman" w:cs="Times New Roman"/>
          <w:sz w:val="24"/>
          <w:szCs w:val="24"/>
        </w:rPr>
        <w:t xml:space="preserve"> Case Study</w:t>
      </w:r>
    </w:p>
    <w:p w14:paraId="2C38C747" w14:textId="12333E2D" w:rsidR="00412EDC" w:rsidRPr="00680733" w:rsidRDefault="00412EDC" w:rsidP="0061799E">
      <w:pPr>
        <w:spacing w:line="480" w:lineRule="auto"/>
        <w:jc w:val="center"/>
        <w:rPr>
          <w:rFonts w:ascii="Times New Roman" w:hAnsi="Times New Roman" w:cs="Times New Roman"/>
          <w:sz w:val="24"/>
          <w:szCs w:val="24"/>
        </w:rPr>
      </w:pPr>
      <w:r w:rsidRPr="00680733">
        <w:rPr>
          <w:rFonts w:ascii="Times New Roman" w:hAnsi="Times New Roman" w:cs="Times New Roman"/>
          <w:sz w:val="24"/>
          <w:szCs w:val="24"/>
        </w:rPr>
        <w:t>Name of student</w:t>
      </w:r>
    </w:p>
    <w:p w14:paraId="5D0DD4C1" w14:textId="77777777" w:rsidR="00412EDC" w:rsidRPr="00680733" w:rsidRDefault="00412EDC" w:rsidP="0061799E">
      <w:pPr>
        <w:spacing w:line="480" w:lineRule="auto"/>
        <w:jc w:val="center"/>
        <w:rPr>
          <w:rFonts w:ascii="Times New Roman" w:hAnsi="Times New Roman" w:cs="Times New Roman"/>
          <w:sz w:val="24"/>
          <w:szCs w:val="24"/>
        </w:rPr>
      </w:pPr>
      <w:r w:rsidRPr="00680733">
        <w:rPr>
          <w:rFonts w:ascii="Times New Roman" w:hAnsi="Times New Roman" w:cs="Times New Roman"/>
          <w:sz w:val="24"/>
          <w:szCs w:val="24"/>
        </w:rPr>
        <w:t>Institution</w:t>
      </w:r>
    </w:p>
    <w:p w14:paraId="32764C53" w14:textId="00B164A4" w:rsidR="00412EDC" w:rsidRDefault="00412EDC" w:rsidP="0061799E">
      <w:pPr>
        <w:spacing w:line="480" w:lineRule="auto"/>
        <w:jc w:val="center"/>
        <w:rPr>
          <w:rFonts w:ascii="Times New Roman" w:hAnsi="Times New Roman" w:cs="Times New Roman"/>
          <w:sz w:val="24"/>
          <w:szCs w:val="24"/>
        </w:rPr>
      </w:pPr>
      <w:r w:rsidRPr="00680733">
        <w:rPr>
          <w:rFonts w:ascii="Times New Roman" w:hAnsi="Times New Roman" w:cs="Times New Roman"/>
          <w:sz w:val="24"/>
          <w:szCs w:val="24"/>
        </w:rPr>
        <w:t>Date</w:t>
      </w:r>
    </w:p>
    <w:p w14:paraId="306E8DA5" w14:textId="1C3CB0E9" w:rsidR="000A24A6" w:rsidRDefault="000A24A6" w:rsidP="0061799E">
      <w:pPr>
        <w:spacing w:line="480" w:lineRule="auto"/>
        <w:jc w:val="center"/>
        <w:rPr>
          <w:rFonts w:ascii="Times New Roman" w:hAnsi="Times New Roman" w:cs="Times New Roman"/>
          <w:sz w:val="24"/>
          <w:szCs w:val="24"/>
        </w:rPr>
      </w:pPr>
    </w:p>
    <w:p w14:paraId="5F5BA1F0" w14:textId="59605ABA" w:rsidR="000A24A6" w:rsidRDefault="000A24A6" w:rsidP="0061799E">
      <w:pPr>
        <w:spacing w:line="480" w:lineRule="auto"/>
        <w:jc w:val="center"/>
        <w:rPr>
          <w:rFonts w:ascii="Times New Roman" w:hAnsi="Times New Roman" w:cs="Times New Roman"/>
          <w:sz w:val="24"/>
          <w:szCs w:val="24"/>
        </w:rPr>
      </w:pPr>
    </w:p>
    <w:p w14:paraId="60856E54" w14:textId="79E687C5" w:rsidR="000A24A6" w:rsidRDefault="000A24A6" w:rsidP="0061799E">
      <w:pPr>
        <w:spacing w:line="480" w:lineRule="auto"/>
        <w:jc w:val="center"/>
        <w:rPr>
          <w:rFonts w:ascii="Times New Roman" w:hAnsi="Times New Roman" w:cs="Times New Roman"/>
          <w:sz w:val="24"/>
          <w:szCs w:val="24"/>
        </w:rPr>
      </w:pPr>
    </w:p>
    <w:p w14:paraId="1BF3890E" w14:textId="68DD948F" w:rsidR="000A24A6" w:rsidRDefault="000A24A6" w:rsidP="0061799E">
      <w:pPr>
        <w:spacing w:line="480" w:lineRule="auto"/>
        <w:jc w:val="center"/>
        <w:rPr>
          <w:rFonts w:ascii="Times New Roman" w:hAnsi="Times New Roman" w:cs="Times New Roman"/>
          <w:sz w:val="24"/>
          <w:szCs w:val="24"/>
        </w:rPr>
      </w:pPr>
    </w:p>
    <w:p w14:paraId="17990DD0" w14:textId="65B3B290" w:rsidR="000A24A6" w:rsidRDefault="000A24A6" w:rsidP="0061799E">
      <w:pPr>
        <w:spacing w:line="480" w:lineRule="auto"/>
        <w:jc w:val="center"/>
        <w:rPr>
          <w:rFonts w:ascii="Times New Roman" w:hAnsi="Times New Roman" w:cs="Times New Roman"/>
          <w:sz w:val="24"/>
          <w:szCs w:val="24"/>
        </w:rPr>
      </w:pPr>
    </w:p>
    <w:p w14:paraId="39D61B86" w14:textId="65EABC05" w:rsidR="000A24A6" w:rsidRDefault="000A24A6" w:rsidP="0061799E">
      <w:pPr>
        <w:spacing w:line="480" w:lineRule="auto"/>
        <w:jc w:val="center"/>
        <w:rPr>
          <w:rFonts w:ascii="Times New Roman" w:hAnsi="Times New Roman" w:cs="Times New Roman"/>
          <w:sz w:val="24"/>
          <w:szCs w:val="24"/>
        </w:rPr>
      </w:pPr>
    </w:p>
    <w:p w14:paraId="793BEB92" w14:textId="0AC9457D" w:rsidR="000A24A6" w:rsidRDefault="000A24A6" w:rsidP="0061799E">
      <w:pPr>
        <w:spacing w:line="480" w:lineRule="auto"/>
        <w:jc w:val="center"/>
        <w:rPr>
          <w:rFonts w:ascii="Times New Roman" w:hAnsi="Times New Roman" w:cs="Times New Roman"/>
          <w:sz w:val="24"/>
          <w:szCs w:val="24"/>
        </w:rPr>
      </w:pPr>
    </w:p>
    <w:p w14:paraId="667B9337" w14:textId="2DCB97C6" w:rsidR="000A24A6" w:rsidRDefault="000A24A6" w:rsidP="0061799E">
      <w:pPr>
        <w:spacing w:line="480" w:lineRule="auto"/>
        <w:jc w:val="center"/>
        <w:rPr>
          <w:rFonts w:ascii="Times New Roman" w:hAnsi="Times New Roman" w:cs="Times New Roman"/>
          <w:sz w:val="24"/>
          <w:szCs w:val="24"/>
        </w:rPr>
      </w:pPr>
    </w:p>
    <w:p w14:paraId="768A44E4" w14:textId="3181E759" w:rsidR="000A24A6" w:rsidRDefault="000A24A6" w:rsidP="0061799E">
      <w:pPr>
        <w:spacing w:line="480" w:lineRule="auto"/>
        <w:jc w:val="center"/>
        <w:rPr>
          <w:rFonts w:ascii="Times New Roman" w:hAnsi="Times New Roman" w:cs="Times New Roman"/>
          <w:sz w:val="24"/>
          <w:szCs w:val="24"/>
        </w:rPr>
      </w:pPr>
    </w:p>
    <w:p w14:paraId="5F95195F" w14:textId="75FB3BC2" w:rsidR="000A24A6" w:rsidRDefault="000A24A6" w:rsidP="0061799E">
      <w:pPr>
        <w:spacing w:line="480" w:lineRule="auto"/>
        <w:jc w:val="center"/>
        <w:rPr>
          <w:rFonts w:ascii="Times New Roman" w:hAnsi="Times New Roman" w:cs="Times New Roman"/>
          <w:sz w:val="24"/>
          <w:szCs w:val="24"/>
        </w:rPr>
      </w:pPr>
    </w:p>
    <w:p w14:paraId="4230710C" w14:textId="576D9EAB" w:rsidR="000A24A6" w:rsidRDefault="000A24A6" w:rsidP="0061799E">
      <w:pPr>
        <w:spacing w:line="480" w:lineRule="auto"/>
        <w:jc w:val="center"/>
        <w:rPr>
          <w:rFonts w:ascii="Times New Roman" w:hAnsi="Times New Roman" w:cs="Times New Roman"/>
          <w:sz w:val="24"/>
          <w:szCs w:val="24"/>
        </w:rPr>
      </w:pPr>
    </w:p>
    <w:p w14:paraId="236CE0A3" w14:textId="22F290E1" w:rsidR="000A24A6" w:rsidRDefault="000A24A6" w:rsidP="0061799E">
      <w:pPr>
        <w:spacing w:line="480" w:lineRule="auto"/>
        <w:jc w:val="center"/>
        <w:rPr>
          <w:rFonts w:ascii="Times New Roman" w:hAnsi="Times New Roman" w:cs="Times New Roman"/>
          <w:sz w:val="24"/>
          <w:szCs w:val="24"/>
        </w:rPr>
      </w:pPr>
    </w:p>
    <w:p w14:paraId="4EACBC0A" w14:textId="53B69D3B" w:rsidR="000A24A6" w:rsidRDefault="000A24A6" w:rsidP="0061799E">
      <w:pPr>
        <w:spacing w:line="480" w:lineRule="auto"/>
        <w:jc w:val="center"/>
        <w:rPr>
          <w:rFonts w:ascii="Times New Roman" w:hAnsi="Times New Roman" w:cs="Times New Roman"/>
          <w:sz w:val="24"/>
          <w:szCs w:val="24"/>
        </w:rPr>
      </w:pPr>
    </w:p>
    <w:p w14:paraId="1FBAB2DB" w14:textId="586C4DE7" w:rsidR="000A24A6" w:rsidRDefault="000A24A6" w:rsidP="0061799E">
      <w:pPr>
        <w:spacing w:line="480" w:lineRule="auto"/>
        <w:jc w:val="center"/>
        <w:rPr>
          <w:rFonts w:ascii="Times New Roman" w:hAnsi="Times New Roman" w:cs="Times New Roman"/>
          <w:sz w:val="24"/>
          <w:szCs w:val="24"/>
        </w:rPr>
      </w:pPr>
    </w:p>
    <w:p w14:paraId="4DF588A9" w14:textId="5F888AE4" w:rsidR="000A24A6" w:rsidRDefault="000A24A6" w:rsidP="0061799E">
      <w:pPr>
        <w:spacing w:line="480" w:lineRule="auto"/>
        <w:jc w:val="center"/>
        <w:rPr>
          <w:rFonts w:ascii="Times New Roman" w:hAnsi="Times New Roman" w:cs="Times New Roman"/>
          <w:sz w:val="24"/>
          <w:szCs w:val="24"/>
        </w:rPr>
      </w:pPr>
    </w:p>
    <w:p w14:paraId="6986D5B3" w14:textId="77777777" w:rsidR="000A24A6" w:rsidRPr="00680733" w:rsidRDefault="000A24A6" w:rsidP="0061799E">
      <w:pPr>
        <w:spacing w:line="480" w:lineRule="auto"/>
        <w:jc w:val="center"/>
        <w:rPr>
          <w:rFonts w:ascii="Times New Roman" w:hAnsi="Times New Roman" w:cs="Times New Roman"/>
          <w:sz w:val="24"/>
          <w:szCs w:val="24"/>
        </w:rPr>
      </w:pPr>
    </w:p>
    <w:p w14:paraId="4F0C5BA8" w14:textId="77777777" w:rsidR="00452A41" w:rsidRPr="00452A41" w:rsidRDefault="00452A41" w:rsidP="00452A41">
      <w:pPr>
        <w:spacing w:line="480" w:lineRule="auto"/>
        <w:rPr>
          <w:rFonts w:ascii="Times New Roman" w:hAnsi="Times New Roman" w:cs="Times New Roman"/>
          <w:b/>
          <w:bCs/>
          <w:sz w:val="24"/>
          <w:szCs w:val="24"/>
        </w:rPr>
      </w:pPr>
    </w:p>
    <w:p w14:paraId="721B98B9" w14:textId="34AA7C52" w:rsidR="00412EDC" w:rsidRPr="00680733" w:rsidRDefault="00452A41" w:rsidP="00452A41">
      <w:pPr>
        <w:spacing w:line="480" w:lineRule="auto"/>
        <w:jc w:val="center"/>
        <w:rPr>
          <w:rFonts w:ascii="Times New Roman" w:hAnsi="Times New Roman" w:cs="Times New Roman"/>
          <w:b/>
          <w:bCs/>
          <w:sz w:val="24"/>
          <w:szCs w:val="24"/>
        </w:rPr>
      </w:pPr>
      <w:r w:rsidRPr="00452A41">
        <w:rPr>
          <w:rFonts w:ascii="Times New Roman" w:hAnsi="Times New Roman" w:cs="Times New Roman"/>
          <w:b/>
          <w:bCs/>
          <w:sz w:val="24"/>
          <w:szCs w:val="24"/>
        </w:rPr>
        <w:t>Mrs. Brown Case Study</w:t>
      </w:r>
    </w:p>
    <w:p w14:paraId="61DA24AF" w14:textId="53505592" w:rsidR="00680733" w:rsidRDefault="00680733" w:rsidP="00D764A1">
      <w:pPr>
        <w:shd w:val="clear" w:color="auto" w:fill="FFFFFF"/>
        <w:spacing w:after="0" w:line="480" w:lineRule="auto"/>
        <w:ind w:firstLine="851"/>
        <w:rPr>
          <w:rFonts w:ascii="Times New Roman" w:eastAsia="Times New Roman" w:hAnsi="Times New Roman" w:cs="Times New Roman"/>
          <w:color w:val="000000"/>
          <w:sz w:val="24"/>
          <w:szCs w:val="24"/>
          <w:lang w:val="en-KE" w:eastAsia="en-KE"/>
        </w:rPr>
      </w:pPr>
      <w:r w:rsidRPr="00680733">
        <w:rPr>
          <w:rFonts w:ascii="Times New Roman" w:eastAsia="Times New Roman" w:hAnsi="Times New Roman" w:cs="Times New Roman"/>
          <w:color w:val="000000"/>
          <w:sz w:val="24"/>
          <w:szCs w:val="24"/>
          <w:lang w:val="en-KE" w:eastAsia="en-KE"/>
        </w:rPr>
        <w:t>An electrolyte imbalance in a person's body fluids occurs when the body has too much water or is dehydrated. Electrolytes are defined as minerals with an electric charge in the body fluids, tissues, and blood. They are important in balancing the amount of water in the body. The electrolyte balance is based on the acid and base level (Skelly, 2016).</w:t>
      </w:r>
    </w:p>
    <w:p w14:paraId="4BEF9C2E" w14:textId="2ABF109A" w:rsidR="00E96116" w:rsidRPr="005A70AB" w:rsidRDefault="00E96116" w:rsidP="005A70AB">
      <w:pPr>
        <w:shd w:val="clear" w:color="auto" w:fill="FFFFFF"/>
        <w:spacing w:after="0" w:line="480" w:lineRule="auto"/>
        <w:ind w:left="2029" w:firstLine="851"/>
        <w:rPr>
          <w:rFonts w:ascii="Times New Roman" w:eastAsia="Times New Roman" w:hAnsi="Times New Roman" w:cs="Times New Roman"/>
          <w:b/>
          <w:bCs/>
          <w:color w:val="000000"/>
          <w:sz w:val="24"/>
          <w:szCs w:val="24"/>
          <w:lang w:eastAsia="en-KE"/>
        </w:rPr>
      </w:pPr>
      <w:r w:rsidRPr="005A70AB">
        <w:rPr>
          <w:rFonts w:ascii="Times New Roman" w:eastAsia="Times New Roman" w:hAnsi="Times New Roman" w:cs="Times New Roman"/>
          <w:b/>
          <w:bCs/>
          <w:color w:val="000000"/>
          <w:sz w:val="24"/>
          <w:szCs w:val="24"/>
          <w:lang w:eastAsia="en-KE"/>
        </w:rPr>
        <w:t xml:space="preserve">Electrolyte </w:t>
      </w:r>
      <w:r w:rsidR="005A70AB" w:rsidRPr="005A70AB">
        <w:rPr>
          <w:rFonts w:ascii="Times New Roman" w:eastAsia="Times New Roman" w:hAnsi="Times New Roman" w:cs="Times New Roman"/>
          <w:b/>
          <w:bCs/>
          <w:color w:val="000000"/>
          <w:sz w:val="24"/>
          <w:szCs w:val="24"/>
          <w:lang w:eastAsia="en-KE"/>
        </w:rPr>
        <w:t>I</w:t>
      </w:r>
      <w:r w:rsidRPr="005A70AB">
        <w:rPr>
          <w:rFonts w:ascii="Times New Roman" w:eastAsia="Times New Roman" w:hAnsi="Times New Roman" w:cs="Times New Roman"/>
          <w:b/>
          <w:bCs/>
          <w:color w:val="000000"/>
          <w:sz w:val="24"/>
          <w:szCs w:val="24"/>
          <w:lang w:eastAsia="en-KE"/>
        </w:rPr>
        <w:t xml:space="preserve">mbalance </w:t>
      </w:r>
    </w:p>
    <w:p w14:paraId="08BE3428" w14:textId="0E209BA5" w:rsidR="00680733" w:rsidRPr="00680733" w:rsidRDefault="00680733" w:rsidP="00D764A1">
      <w:pPr>
        <w:shd w:val="clear" w:color="auto" w:fill="FFFFFF"/>
        <w:spacing w:after="0" w:line="480" w:lineRule="auto"/>
        <w:ind w:firstLine="851"/>
        <w:rPr>
          <w:rFonts w:ascii="Times New Roman" w:eastAsia="Times New Roman" w:hAnsi="Times New Roman" w:cs="Times New Roman"/>
          <w:color w:val="000000"/>
          <w:sz w:val="24"/>
          <w:szCs w:val="24"/>
          <w:lang w:val="en-KE" w:eastAsia="en-KE"/>
        </w:rPr>
      </w:pPr>
      <w:r w:rsidRPr="00680733">
        <w:rPr>
          <w:rFonts w:ascii="Times New Roman" w:eastAsia="Times New Roman" w:hAnsi="Times New Roman" w:cs="Times New Roman"/>
          <w:color w:val="000000"/>
          <w:sz w:val="24"/>
          <w:szCs w:val="24"/>
          <w:lang w:val="en-KE" w:eastAsia="en-KE"/>
        </w:rPr>
        <w:t>Mrs. Brown has a hypertonic imbalance. The normal sodium; level is 135-145 milliequivalents per liter. Mrs brown’s sodium level is higher than the normal level. Mrs. Brown also has hypercalcemia because her calcium levels are higher than the normal value. Her potassium levels are 5.6 milliequivalents per liter which are also higher than the normal. She, therefore, has hyperkalemia which is declared when potassium levels are between 5.0-5.5 milliequivalents per liter. This is an indication of loss of extracellular fluid and thus the movement of I intracellular fluid to the extracellular component.  Her hypernatremia is likely to be caused by her reduced oral water intake. There is water loss from her pulmonarysystem.</w:t>
      </w:r>
    </w:p>
    <w:p w14:paraId="03E38933" w14:textId="77777777" w:rsidR="00680733" w:rsidRPr="00680733" w:rsidRDefault="00680733" w:rsidP="00D764A1">
      <w:pPr>
        <w:shd w:val="clear" w:color="auto" w:fill="FFFFFF"/>
        <w:spacing w:after="0" w:line="480" w:lineRule="auto"/>
        <w:ind w:firstLine="851"/>
        <w:rPr>
          <w:rFonts w:ascii="Times New Roman" w:eastAsia="Times New Roman" w:hAnsi="Times New Roman" w:cs="Times New Roman"/>
          <w:color w:val="000000"/>
          <w:sz w:val="24"/>
          <w:szCs w:val="24"/>
          <w:lang w:val="en-KE" w:eastAsia="en-KE"/>
        </w:rPr>
      </w:pPr>
      <w:r w:rsidRPr="00680733">
        <w:rPr>
          <w:rFonts w:ascii="Times New Roman" w:eastAsia="Times New Roman" w:hAnsi="Times New Roman" w:cs="Times New Roman"/>
          <w:color w:val="000000"/>
          <w:sz w:val="24"/>
          <w:szCs w:val="24"/>
          <w:lang w:val="en-KE" w:eastAsia="en-KE"/>
        </w:rPr>
        <w:t xml:space="preserve"> Mrs. Brown’s glucose level is also too high. This condition is known as hyperglycemia. High glucose levels are caused by either failure of the body to utilize the glucose or failure of the body to produce insulin. In Mrs brown’s case, the high level; ls of glucose are because of her type 2 diabetes mellitus.</w:t>
      </w:r>
    </w:p>
    <w:p w14:paraId="4B131283" w14:textId="77777777" w:rsidR="00680733" w:rsidRPr="00680733" w:rsidRDefault="00680733" w:rsidP="00D764A1">
      <w:pPr>
        <w:shd w:val="clear" w:color="auto" w:fill="FFFFFF"/>
        <w:spacing w:after="0" w:line="480" w:lineRule="auto"/>
        <w:ind w:firstLine="851"/>
        <w:rPr>
          <w:rFonts w:ascii="Times New Roman" w:eastAsia="Times New Roman" w:hAnsi="Times New Roman" w:cs="Times New Roman"/>
          <w:color w:val="000000"/>
          <w:sz w:val="24"/>
          <w:szCs w:val="24"/>
          <w:lang w:val="en-KE" w:eastAsia="en-KE"/>
        </w:rPr>
      </w:pPr>
      <w:r w:rsidRPr="00680733">
        <w:rPr>
          <w:rFonts w:ascii="Times New Roman" w:eastAsia="Times New Roman" w:hAnsi="Times New Roman" w:cs="Times New Roman"/>
          <w:color w:val="000000"/>
          <w:sz w:val="24"/>
          <w:szCs w:val="24"/>
          <w:lang w:val="en-KE" w:eastAsia="en-KE"/>
        </w:rPr>
        <w:t xml:space="preserve"> Common electrolyte disorders manifest in different signs and symptoms. They include tachycardia, irregular heartbeat, fatigue, nausea, vomiting, constipation, muscle weakness, headaches, numbness, lethargy, convulsions, and seizures. When a patient has hyperkalemia, they are bound to experience body fatigue, chest pain, irregular heartbeats, difficulty in breathing, numbness, and tingling feeling, and nausea (Skelly, 2016).</w:t>
      </w:r>
    </w:p>
    <w:p w14:paraId="35BA1324" w14:textId="2955721F" w:rsidR="00680733" w:rsidRPr="00DC72A1" w:rsidRDefault="00680733" w:rsidP="00D764A1">
      <w:pPr>
        <w:shd w:val="clear" w:color="auto" w:fill="FFFFFF"/>
        <w:spacing w:after="0" w:line="480" w:lineRule="auto"/>
        <w:ind w:firstLine="851"/>
        <w:rPr>
          <w:rFonts w:ascii="Times New Roman" w:eastAsia="Times New Roman" w:hAnsi="Times New Roman" w:cs="Times New Roman"/>
          <w:b/>
          <w:bCs/>
          <w:color w:val="000000"/>
          <w:sz w:val="24"/>
          <w:szCs w:val="24"/>
          <w:lang w:val="en-KE" w:eastAsia="en-KE"/>
        </w:rPr>
      </w:pPr>
      <w:r w:rsidRPr="00DC72A1">
        <w:rPr>
          <w:rFonts w:ascii="Times New Roman" w:eastAsia="Times New Roman" w:hAnsi="Times New Roman" w:cs="Times New Roman"/>
          <w:b/>
          <w:bCs/>
          <w:color w:val="000000"/>
          <w:sz w:val="24"/>
          <w:szCs w:val="24"/>
          <w:lang w:val="en-KE" w:eastAsia="en-KE"/>
        </w:rPr>
        <w:t xml:space="preserve"> </w:t>
      </w:r>
      <w:r w:rsidR="00E96116">
        <w:rPr>
          <w:rFonts w:ascii="Times New Roman" w:eastAsia="Times New Roman" w:hAnsi="Times New Roman" w:cs="Times New Roman"/>
          <w:b/>
          <w:bCs/>
          <w:color w:val="000000"/>
          <w:sz w:val="24"/>
          <w:szCs w:val="24"/>
          <w:lang w:val="en-KE" w:eastAsia="en-KE"/>
        </w:rPr>
        <w:tab/>
      </w:r>
      <w:r w:rsidR="00E96116">
        <w:rPr>
          <w:rFonts w:ascii="Times New Roman" w:eastAsia="Times New Roman" w:hAnsi="Times New Roman" w:cs="Times New Roman"/>
          <w:b/>
          <w:bCs/>
          <w:color w:val="000000"/>
          <w:sz w:val="24"/>
          <w:szCs w:val="24"/>
          <w:lang w:val="en-KE" w:eastAsia="en-KE"/>
        </w:rPr>
        <w:tab/>
      </w:r>
      <w:r w:rsidR="00E96116">
        <w:rPr>
          <w:rFonts w:ascii="Times New Roman" w:eastAsia="Times New Roman" w:hAnsi="Times New Roman" w:cs="Times New Roman"/>
          <w:b/>
          <w:bCs/>
          <w:color w:val="000000"/>
          <w:sz w:val="24"/>
          <w:szCs w:val="24"/>
          <w:lang w:val="en-KE" w:eastAsia="en-KE"/>
        </w:rPr>
        <w:tab/>
      </w:r>
      <w:r w:rsidRPr="00DC72A1">
        <w:rPr>
          <w:rFonts w:ascii="Times New Roman" w:eastAsia="Times New Roman" w:hAnsi="Times New Roman" w:cs="Times New Roman"/>
          <w:b/>
          <w:bCs/>
          <w:color w:val="000000"/>
          <w:sz w:val="24"/>
          <w:szCs w:val="24"/>
          <w:lang w:val="en-KE" w:eastAsia="en-KE"/>
        </w:rPr>
        <w:t>Treatment</w:t>
      </w:r>
    </w:p>
    <w:p w14:paraId="3E7D26F7" w14:textId="3BBD77A4" w:rsidR="00680733" w:rsidRPr="00680733" w:rsidRDefault="00680733" w:rsidP="00D764A1">
      <w:pPr>
        <w:shd w:val="clear" w:color="auto" w:fill="FFFFFF"/>
        <w:spacing w:after="0" w:line="480" w:lineRule="auto"/>
        <w:ind w:firstLine="851"/>
        <w:rPr>
          <w:rFonts w:ascii="Times New Roman" w:eastAsia="Times New Roman" w:hAnsi="Times New Roman" w:cs="Times New Roman"/>
          <w:color w:val="000000"/>
          <w:sz w:val="24"/>
          <w:szCs w:val="24"/>
          <w:lang w:val="en-KE" w:eastAsia="en-KE"/>
        </w:rPr>
      </w:pPr>
      <w:r w:rsidRPr="00680733">
        <w:rPr>
          <w:rFonts w:ascii="Times New Roman" w:eastAsia="Times New Roman" w:hAnsi="Times New Roman" w:cs="Times New Roman"/>
          <w:color w:val="000000"/>
          <w:sz w:val="24"/>
          <w:szCs w:val="24"/>
          <w:lang w:val="en-KE" w:eastAsia="en-KE"/>
        </w:rPr>
        <w:t xml:space="preserve">The first appropriate treatment is the administration of isotonic fluid intravenously. This is because of her inability to orally drink water. The isotonic free fluid works to restore the electrolyte balance in the </w:t>
      </w:r>
      <w:r w:rsidR="0061799E" w:rsidRPr="00680733">
        <w:rPr>
          <w:rFonts w:ascii="Times New Roman" w:eastAsia="Times New Roman" w:hAnsi="Times New Roman" w:cs="Times New Roman"/>
          <w:color w:val="000000"/>
          <w:sz w:val="24"/>
          <w:szCs w:val="24"/>
          <w:lang w:val="en-KE" w:eastAsia="en-KE"/>
        </w:rPr>
        <w:t>body (</w:t>
      </w:r>
      <w:r w:rsidRPr="00680733">
        <w:rPr>
          <w:rFonts w:ascii="Times New Roman" w:eastAsia="Times New Roman" w:hAnsi="Times New Roman" w:cs="Times New Roman"/>
          <w:color w:val="000000"/>
          <w:sz w:val="24"/>
          <w:szCs w:val="24"/>
          <w:lang w:val="en-KE" w:eastAsia="en-KE"/>
        </w:rPr>
        <w:t xml:space="preserve">Skelly, 2016). It, therefore, resolves </w:t>
      </w:r>
      <w:r w:rsidR="0061799E" w:rsidRPr="00680733">
        <w:rPr>
          <w:rFonts w:ascii="Times New Roman" w:eastAsia="Times New Roman" w:hAnsi="Times New Roman" w:cs="Times New Roman"/>
          <w:color w:val="000000"/>
          <w:sz w:val="24"/>
          <w:szCs w:val="24"/>
          <w:lang w:val="en-KE" w:eastAsia="en-KE"/>
        </w:rPr>
        <w:t>hypercalcemia, hyperkalemia</w:t>
      </w:r>
      <w:r w:rsidRPr="00680733">
        <w:rPr>
          <w:rFonts w:ascii="Times New Roman" w:eastAsia="Times New Roman" w:hAnsi="Times New Roman" w:cs="Times New Roman"/>
          <w:color w:val="000000"/>
          <w:sz w:val="24"/>
          <w:szCs w:val="24"/>
          <w:lang w:val="en-KE" w:eastAsia="en-KE"/>
        </w:rPr>
        <w:t xml:space="preserve">, and hypernatremia. The other vital treatment is administering a drug for lowering glucose levels. For example, meglitinides which are short-acting but have rapid action. After resolving the problem and the patient regains their strength the patient can be administered with metformin later to keep the blood sugars in check. </w:t>
      </w:r>
    </w:p>
    <w:p w14:paraId="624CB83B" w14:textId="319796B6" w:rsidR="00680733" w:rsidRPr="00E96116" w:rsidRDefault="00E96116" w:rsidP="00E96116">
      <w:pPr>
        <w:shd w:val="clear" w:color="auto" w:fill="FFFFFF"/>
        <w:spacing w:after="0" w:line="480" w:lineRule="auto"/>
        <w:ind w:left="2029" w:firstLine="851"/>
        <w:rPr>
          <w:rFonts w:ascii="Times New Roman" w:eastAsia="Times New Roman" w:hAnsi="Times New Roman" w:cs="Times New Roman"/>
          <w:b/>
          <w:bCs/>
          <w:color w:val="000000"/>
          <w:sz w:val="24"/>
          <w:szCs w:val="24"/>
          <w:lang w:eastAsia="en-KE"/>
        </w:rPr>
      </w:pPr>
      <w:r w:rsidRPr="00E96116">
        <w:rPr>
          <w:rFonts w:ascii="Times New Roman" w:eastAsia="Times New Roman" w:hAnsi="Times New Roman" w:cs="Times New Roman"/>
          <w:b/>
          <w:bCs/>
          <w:color w:val="000000"/>
          <w:sz w:val="24"/>
          <w:szCs w:val="24"/>
          <w:lang w:eastAsia="en-KE"/>
        </w:rPr>
        <w:t xml:space="preserve">Arterial Blood Gas </w:t>
      </w:r>
    </w:p>
    <w:p w14:paraId="34449BDB" w14:textId="69CAB930" w:rsidR="00680733" w:rsidRDefault="00680733" w:rsidP="00D764A1">
      <w:pPr>
        <w:shd w:val="clear" w:color="auto" w:fill="FFFFFF"/>
        <w:spacing w:after="0" w:line="480" w:lineRule="auto"/>
        <w:ind w:firstLine="851"/>
        <w:rPr>
          <w:rFonts w:ascii="Times New Roman" w:eastAsia="Times New Roman" w:hAnsi="Times New Roman" w:cs="Times New Roman"/>
          <w:color w:val="000000"/>
          <w:sz w:val="24"/>
          <w:szCs w:val="24"/>
          <w:lang w:val="en-KE" w:eastAsia="en-KE"/>
        </w:rPr>
      </w:pPr>
      <w:r w:rsidRPr="00680733">
        <w:rPr>
          <w:rFonts w:ascii="Times New Roman" w:eastAsia="Times New Roman" w:hAnsi="Times New Roman" w:cs="Times New Roman"/>
          <w:color w:val="000000"/>
          <w:sz w:val="24"/>
          <w:szCs w:val="24"/>
          <w:lang w:val="en-KE" w:eastAsia="en-KE"/>
        </w:rPr>
        <w:t xml:space="preserve">The normal arterial blood gas levels are pH (7.35-7.45) PaO2 (75-100 mmHg) PaCO2 (35-45 mmHg) ("Know your ABGs - Arterial blood gases explained”).  Mrs. Brown’s </w:t>
      </w:r>
      <w:r w:rsidR="00D764A1" w:rsidRPr="00680733">
        <w:rPr>
          <w:rFonts w:ascii="Times New Roman" w:eastAsia="Times New Roman" w:hAnsi="Times New Roman" w:cs="Times New Roman"/>
          <w:color w:val="000000"/>
          <w:sz w:val="24"/>
          <w:szCs w:val="24"/>
          <w:lang w:val="en-KE" w:eastAsia="en-KE"/>
        </w:rPr>
        <w:t>p</w:t>
      </w:r>
      <w:r w:rsidR="00D764A1">
        <w:rPr>
          <w:rFonts w:ascii="Times New Roman" w:eastAsia="Times New Roman" w:hAnsi="Times New Roman" w:cs="Times New Roman"/>
          <w:color w:val="000000"/>
          <w:sz w:val="24"/>
          <w:szCs w:val="24"/>
          <w:lang w:eastAsia="en-KE"/>
        </w:rPr>
        <w:t>H</w:t>
      </w:r>
      <w:r w:rsidRPr="00680733">
        <w:rPr>
          <w:rFonts w:ascii="Times New Roman" w:eastAsia="Times New Roman" w:hAnsi="Times New Roman" w:cs="Times New Roman"/>
          <w:color w:val="000000"/>
          <w:sz w:val="24"/>
          <w:szCs w:val="24"/>
          <w:lang w:val="en-KE" w:eastAsia="en-KE"/>
        </w:rPr>
        <w:t xml:space="preserve"> is below 7.35 indicating that she has a metabolic acidosis.  She is also hypoxemic because of her PaO2 levels that are lower than 80. Her PaCo2 is below the normal levels because of compensatory hyperventilation. Her HCO3 is below 24 mEq/L.</w:t>
      </w:r>
    </w:p>
    <w:p w14:paraId="212F6020" w14:textId="00443275" w:rsidR="00E96116" w:rsidRPr="00E96116" w:rsidRDefault="00E96116" w:rsidP="00E96116">
      <w:pPr>
        <w:shd w:val="clear" w:color="auto" w:fill="FFFFFF"/>
        <w:spacing w:after="0" w:line="480" w:lineRule="auto"/>
        <w:ind w:left="2749" w:firstLine="131"/>
        <w:rPr>
          <w:rFonts w:ascii="Times New Roman" w:eastAsia="Times New Roman" w:hAnsi="Times New Roman" w:cs="Times New Roman"/>
          <w:b/>
          <w:bCs/>
          <w:color w:val="000000"/>
          <w:sz w:val="24"/>
          <w:szCs w:val="24"/>
          <w:lang w:eastAsia="en-KE"/>
        </w:rPr>
      </w:pPr>
      <w:r w:rsidRPr="00E96116">
        <w:rPr>
          <w:rFonts w:ascii="Times New Roman" w:eastAsia="Times New Roman" w:hAnsi="Times New Roman" w:cs="Times New Roman"/>
          <w:b/>
          <w:bCs/>
          <w:color w:val="000000"/>
          <w:sz w:val="24"/>
          <w:szCs w:val="24"/>
          <w:lang w:eastAsia="en-KE"/>
        </w:rPr>
        <w:t>Anion Gap</w:t>
      </w:r>
    </w:p>
    <w:p w14:paraId="1046F841" w14:textId="6011D757" w:rsidR="005A70AB" w:rsidRDefault="00680733" w:rsidP="000A24A6">
      <w:pPr>
        <w:shd w:val="clear" w:color="auto" w:fill="FFFFFF"/>
        <w:spacing w:after="0" w:line="480" w:lineRule="auto"/>
        <w:ind w:firstLine="851"/>
        <w:rPr>
          <w:rFonts w:ascii="Times New Roman" w:eastAsia="Times New Roman" w:hAnsi="Times New Roman" w:cs="Times New Roman"/>
          <w:color w:val="000000"/>
          <w:sz w:val="24"/>
          <w:szCs w:val="24"/>
          <w:lang w:val="en-KE" w:eastAsia="en-KE"/>
        </w:rPr>
      </w:pPr>
      <w:r w:rsidRPr="00680733">
        <w:rPr>
          <w:rFonts w:ascii="Times New Roman" w:eastAsia="Times New Roman" w:hAnsi="Times New Roman" w:cs="Times New Roman"/>
          <w:color w:val="000000"/>
          <w:sz w:val="24"/>
          <w:szCs w:val="24"/>
          <w:lang w:val="en-KE" w:eastAsia="en-KE"/>
        </w:rPr>
        <w:t xml:space="preserve">An anion gap indicates whether or not body blood has electrolyte imbalances. It also indicates the acid levels. High acid levels are known as acidosis and low levels are known as alkalosis. Mrs Brown’s anion gap can be calculated </w:t>
      </w:r>
      <w:r w:rsidR="0061799E" w:rsidRPr="00680733">
        <w:rPr>
          <w:rFonts w:ascii="Times New Roman" w:eastAsia="Times New Roman" w:hAnsi="Times New Roman" w:cs="Times New Roman"/>
          <w:color w:val="000000"/>
          <w:sz w:val="24"/>
          <w:szCs w:val="24"/>
          <w:lang w:val="en-KE" w:eastAsia="en-KE"/>
        </w:rPr>
        <w:t>by [</w:t>
      </w:r>
      <w:r w:rsidRPr="00680733">
        <w:rPr>
          <w:rFonts w:ascii="Times New Roman" w:eastAsia="Times New Roman" w:hAnsi="Times New Roman" w:cs="Times New Roman"/>
          <w:color w:val="000000"/>
          <w:sz w:val="24"/>
          <w:szCs w:val="24"/>
          <w:lang w:val="en-KE" w:eastAsia="en-KE"/>
        </w:rPr>
        <w:t>Na+(156) + K+(4)] - [HCO3-(20) + Cl-(115)] = 25 mEq/L. therefore it is 10-12 mEq/L which is a positive anion gap. The gap is twice the normal level. Acidosis in this case is due to ketosis because of her inability to eat therefore the body resolved to get energy from her muscle</w:t>
      </w:r>
    </w:p>
    <w:p w14:paraId="7B5B0E32" w14:textId="6F3C9F4E" w:rsidR="005A70AB" w:rsidRDefault="005A70AB" w:rsidP="00D764A1">
      <w:pPr>
        <w:shd w:val="clear" w:color="auto" w:fill="FFFFFF"/>
        <w:spacing w:after="0" w:line="480" w:lineRule="auto"/>
        <w:ind w:firstLine="851"/>
        <w:rPr>
          <w:rFonts w:ascii="Times New Roman" w:eastAsia="Times New Roman" w:hAnsi="Times New Roman" w:cs="Times New Roman"/>
          <w:color w:val="000000"/>
          <w:sz w:val="24"/>
          <w:szCs w:val="24"/>
          <w:lang w:val="en-KE" w:eastAsia="en-KE"/>
        </w:rPr>
      </w:pPr>
    </w:p>
    <w:p w14:paraId="03B85905" w14:textId="523BB4A9" w:rsidR="005A70AB" w:rsidRDefault="005A70AB" w:rsidP="00D764A1">
      <w:pPr>
        <w:shd w:val="clear" w:color="auto" w:fill="FFFFFF"/>
        <w:spacing w:after="0" w:line="480" w:lineRule="auto"/>
        <w:ind w:firstLine="851"/>
        <w:rPr>
          <w:rFonts w:ascii="Times New Roman" w:eastAsia="Times New Roman" w:hAnsi="Times New Roman" w:cs="Times New Roman"/>
          <w:color w:val="000000"/>
          <w:sz w:val="24"/>
          <w:szCs w:val="24"/>
          <w:lang w:val="en-KE" w:eastAsia="en-KE"/>
        </w:rPr>
      </w:pPr>
    </w:p>
    <w:p w14:paraId="578E98CD" w14:textId="1488CF69" w:rsidR="005A70AB" w:rsidRDefault="005A70AB" w:rsidP="00D764A1">
      <w:pPr>
        <w:shd w:val="clear" w:color="auto" w:fill="FFFFFF"/>
        <w:spacing w:after="0" w:line="480" w:lineRule="auto"/>
        <w:ind w:firstLine="851"/>
        <w:rPr>
          <w:rFonts w:ascii="Times New Roman" w:eastAsia="Times New Roman" w:hAnsi="Times New Roman" w:cs="Times New Roman"/>
          <w:color w:val="000000"/>
          <w:sz w:val="24"/>
          <w:szCs w:val="24"/>
          <w:lang w:val="en-KE" w:eastAsia="en-KE"/>
        </w:rPr>
      </w:pPr>
    </w:p>
    <w:p w14:paraId="5F89A7F0" w14:textId="3EFC9640" w:rsidR="005A70AB" w:rsidRDefault="005A70AB" w:rsidP="00D764A1">
      <w:pPr>
        <w:shd w:val="clear" w:color="auto" w:fill="FFFFFF"/>
        <w:spacing w:after="0" w:line="480" w:lineRule="auto"/>
        <w:ind w:firstLine="851"/>
        <w:rPr>
          <w:rFonts w:ascii="Times New Roman" w:eastAsia="Times New Roman" w:hAnsi="Times New Roman" w:cs="Times New Roman"/>
          <w:color w:val="000000"/>
          <w:sz w:val="24"/>
          <w:szCs w:val="24"/>
          <w:lang w:val="en-KE" w:eastAsia="en-KE"/>
        </w:rPr>
      </w:pPr>
    </w:p>
    <w:p w14:paraId="4C43439B" w14:textId="77777777" w:rsidR="00680733" w:rsidRPr="00680733" w:rsidRDefault="00680733" w:rsidP="004F1380">
      <w:pPr>
        <w:shd w:val="clear" w:color="auto" w:fill="FFFFFF"/>
        <w:spacing w:after="0" w:line="480" w:lineRule="auto"/>
        <w:rPr>
          <w:rFonts w:ascii="Times New Roman" w:eastAsia="Times New Roman" w:hAnsi="Times New Roman" w:cs="Times New Roman"/>
          <w:color w:val="000000"/>
          <w:sz w:val="24"/>
          <w:szCs w:val="24"/>
          <w:lang w:val="en-KE" w:eastAsia="en-KE"/>
        </w:rPr>
      </w:pPr>
    </w:p>
    <w:p w14:paraId="4A0C4AD4" w14:textId="27142E5C" w:rsidR="00CF0AD1" w:rsidRPr="00CF0AD1" w:rsidRDefault="00CF0AD1" w:rsidP="00680733">
      <w:pPr>
        <w:shd w:val="clear" w:color="auto" w:fill="FFFFFF"/>
        <w:spacing w:after="0" w:line="480" w:lineRule="auto"/>
        <w:jc w:val="center"/>
        <w:rPr>
          <w:rFonts w:ascii="Times New Roman" w:eastAsia="Times New Roman" w:hAnsi="Times New Roman" w:cs="Times New Roman"/>
          <w:color w:val="000000"/>
          <w:sz w:val="24"/>
          <w:szCs w:val="24"/>
          <w:lang w:val="en-KE" w:eastAsia="en-KE"/>
        </w:rPr>
      </w:pPr>
      <w:r w:rsidRPr="00CF0AD1">
        <w:rPr>
          <w:rFonts w:ascii="Times New Roman" w:eastAsia="Times New Roman" w:hAnsi="Times New Roman" w:cs="Times New Roman"/>
          <w:color w:val="000000"/>
          <w:sz w:val="24"/>
          <w:szCs w:val="24"/>
          <w:lang w:val="en-KE" w:eastAsia="en-KE"/>
        </w:rPr>
        <w:t>References</w:t>
      </w:r>
    </w:p>
    <w:p w14:paraId="549F8F17" w14:textId="77777777" w:rsidR="00CF0AD1" w:rsidRPr="00CF0AD1" w:rsidRDefault="00CF0AD1" w:rsidP="00680733">
      <w:pPr>
        <w:shd w:val="clear" w:color="auto" w:fill="FFFFFF"/>
        <w:spacing w:after="0" w:line="480" w:lineRule="auto"/>
        <w:ind w:left="720" w:right="75" w:hanging="720"/>
        <w:rPr>
          <w:rFonts w:ascii="Times New Roman" w:eastAsia="Times New Roman" w:hAnsi="Times New Roman" w:cs="Times New Roman"/>
          <w:color w:val="000000"/>
          <w:sz w:val="24"/>
          <w:szCs w:val="24"/>
          <w:lang w:val="en-KE" w:eastAsia="en-KE"/>
        </w:rPr>
      </w:pPr>
      <w:r w:rsidRPr="00CF0AD1">
        <w:rPr>
          <w:rFonts w:ascii="Times New Roman" w:eastAsia="Times New Roman" w:hAnsi="Times New Roman" w:cs="Times New Roman"/>
          <w:i/>
          <w:iCs/>
          <w:color w:val="000000"/>
          <w:sz w:val="24"/>
          <w:szCs w:val="24"/>
          <w:lang w:val="en-KE" w:eastAsia="en-KE"/>
        </w:rPr>
        <w:t>Know your ABGs - Arterial blood gases explained</w:t>
      </w:r>
      <w:r w:rsidRPr="00CF0AD1">
        <w:rPr>
          <w:rFonts w:ascii="Times New Roman" w:eastAsia="Times New Roman" w:hAnsi="Times New Roman" w:cs="Times New Roman"/>
          <w:color w:val="000000"/>
          <w:sz w:val="24"/>
          <w:szCs w:val="24"/>
          <w:lang w:val="en-KE" w:eastAsia="en-KE"/>
        </w:rPr>
        <w:t>. (n.d.). Nurse.org. </w:t>
      </w:r>
      <w:hyperlink r:id="rId6" w:history="1">
        <w:r w:rsidRPr="00CF0AD1">
          <w:rPr>
            <w:rFonts w:ascii="Times New Roman" w:eastAsia="Times New Roman" w:hAnsi="Times New Roman" w:cs="Times New Roman"/>
            <w:color w:val="000000"/>
            <w:sz w:val="24"/>
            <w:szCs w:val="24"/>
            <w:u w:val="single"/>
            <w:lang w:val="en-KE" w:eastAsia="en-KE"/>
          </w:rPr>
          <w:t>https://nurse.org/articles/arterial-blood-gas-test/</w:t>
        </w:r>
      </w:hyperlink>
    </w:p>
    <w:p w14:paraId="08414AAA" w14:textId="77777777" w:rsidR="00CF0AD1" w:rsidRPr="00CF0AD1" w:rsidRDefault="00CF0AD1" w:rsidP="00680733">
      <w:pPr>
        <w:shd w:val="clear" w:color="auto" w:fill="FFFFFF"/>
        <w:spacing w:after="0" w:line="480" w:lineRule="auto"/>
        <w:ind w:left="720" w:right="75" w:hanging="720"/>
        <w:rPr>
          <w:rFonts w:ascii="Times New Roman" w:eastAsia="Times New Roman" w:hAnsi="Times New Roman" w:cs="Times New Roman"/>
          <w:color w:val="000000"/>
          <w:sz w:val="24"/>
          <w:szCs w:val="24"/>
          <w:lang w:val="en-KE" w:eastAsia="en-KE"/>
        </w:rPr>
      </w:pPr>
      <w:r w:rsidRPr="00CF0AD1">
        <w:rPr>
          <w:rFonts w:ascii="Times New Roman" w:eastAsia="Times New Roman" w:hAnsi="Times New Roman" w:cs="Times New Roman"/>
          <w:color w:val="000000"/>
          <w:sz w:val="24"/>
          <w:szCs w:val="24"/>
          <w:lang w:val="en-KE" w:eastAsia="en-KE"/>
        </w:rPr>
        <w:t>Skelly, B. (2016). Electrolyte imbalances. </w:t>
      </w:r>
      <w:r w:rsidRPr="00CF0AD1">
        <w:rPr>
          <w:rFonts w:ascii="Times New Roman" w:eastAsia="Times New Roman" w:hAnsi="Times New Roman" w:cs="Times New Roman"/>
          <w:i/>
          <w:iCs/>
          <w:color w:val="000000"/>
          <w:sz w:val="24"/>
          <w:szCs w:val="24"/>
          <w:lang w:val="en-KE" w:eastAsia="en-KE"/>
        </w:rPr>
        <w:t>BSAVA Manual of Canine and Feline Clinical Pathology</w:t>
      </w:r>
      <w:r w:rsidRPr="00CF0AD1">
        <w:rPr>
          <w:rFonts w:ascii="Times New Roman" w:eastAsia="Times New Roman" w:hAnsi="Times New Roman" w:cs="Times New Roman"/>
          <w:color w:val="000000"/>
          <w:sz w:val="24"/>
          <w:szCs w:val="24"/>
          <w:lang w:val="en-KE" w:eastAsia="en-KE"/>
        </w:rPr>
        <w:t>, 142-164. </w:t>
      </w:r>
      <w:hyperlink r:id="rId7" w:history="1">
        <w:r w:rsidRPr="00CF0AD1">
          <w:rPr>
            <w:rFonts w:ascii="Times New Roman" w:eastAsia="Times New Roman" w:hAnsi="Times New Roman" w:cs="Times New Roman"/>
            <w:color w:val="000000"/>
            <w:sz w:val="24"/>
            <w:szCs w:val="24"/>
            <w:u w:val="single"/>
            <w:lang w:val="en-KE" w:eastAsia="en-KE"/>
          </w:rPr>
          <w:t>https://doi.org/10.22233/9781910443255.8</w:t>
        </w:r>
      </w:hyperlink>
    </w:p>
    <w:p w14:paraId="4D0D0E16" w14:textId="77777777" w:rsidR="00CF0AD1" w:rsidRPr="00680733" w:rsidRDefault="00CF0AD1" w:rsidP="00680733">
      <w:pPr>
        <w:spacing w:line="480" w:lineRule="auto"/>
        <w:rPr>
          <w:rFonts w:ascii="Times New Roman" w:hAnsi="Times New Roman" w:cs="Times New Roman"/>
          <w:sz w:val="24"/>
          <w:szCs w:val="24"/>
        </w:rPr>
      </w:pPr>
    </w:p>
    <w:p w14:paraId="710FEC14" w14:textId="77777777" w:rsidR="009A2464" w:rsidRPr="00680733" w:rsidRDefault="009A2464" w:rsidP="00680733">
      <w:pPr>
        <w:spacing w:line="480" w:lineRule="auto"/>
        <w:rPr>
          <w:rFonts w:ascii="Times New Roman" w:hAnsi="Times New Roman" w:cs="Times New Roman"/>
          <w:sz w:val="24"/>
          <w:szCs w:val="24"/>
        </w:rPr>
      </w:pPr>
    </w:p>
    <w:sectPr w:rsidR="009A2464" w:rsidRPr="00680733" w:rsidSect="0061799E">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DA3088" w14:textId="77777777" w:rsidR="00FB6306" w:rsidRDefault="00FB6306" w:rsidP="0061799E">
      <w:pPr>
        <w:spacing w:after="0" w:line="240" w:lineRule="auto"/>
      </w:pPr>
      <w:r>
        <w:separator/>
      </w:r>
    </w:p>
  </w:endnote>
  <w:endnote w:type="continuationSeparator" w:id="0">
    <w:p w14:paraId="79A16B13" w14:textId="77777777" w:rsidR="00FB6306" w:rsidRDefault="00FB6306" w:rsidP="00617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F84583" w14:textId="77777777" w:rsidR="00FB6306" w:rsidRDefault="00FB6306" w:rsidP="0061799E">
      <w:pPr>
        <w:spacing w:after="0" w:line="240" w:lineRule="auto"/>
      </w:pPr>
      <w:r>
        <w:separator/>
      </w:r>
    </w:p>
  </w:footnote>
  <w:footnote w:type="continuationSeparator" w:id="0">
    <w:p w14:paraId="6EC3A3E2" w14:textId="77777777" w:rsidR="00FB6306" w:rsidRDefault="00FB6306" w:rsidP="006179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27115968"/>
      <w:docPartObj>
        <w:docPartGallery w:val="Page Numbers (Top of Page)"/>
        <w:docPartUnique/>
      </w:docPartObj>
    </w:sdtPr>
    <w:sdtEndPr>
      <w:rPr>
        <w:noProof/>
      </w:rPr>
    </w:sdtEndPr>
    <w:sdtContent>
      <w:p w14:paraId="2C8FD216" w14:textId="31E8D8AF" w:rsidR="0061799E" w:rsidRDefault="00452A41">
        <w:pPr>
          <w:pStyle w:val="Header"/>
          <w:jc w:val="right"/>
        </w:pPr>
        <w:r>
          <w:t>Mrs. BROWN CASE STUDY</w:t>
        </w:r>
        <w:r>
          <w:tab/>
        </w:r>
        <w:r w:rsidR="00DC72A1">
          <w:tab/>
        </w:r>
        <w:r w:rsidR="0061799E">
          <w:fldChar w:fldCharType="begin"/>
        </w:r>
        <w:r w:rsidR="0061799E">
          <w:instrText xml:space="preserve"> PAGE   \* MERGEFORMAT </w:instrText>
        </w:r>
        <w:r w:rsidR="0061799E">
          <w:fldChar w:fldCharType="separate"/>
        </w:r>
        <w:r w:rsidR="0061799E">
          <w:rPr>
            <w:noProof/>
          </w:rPr>
          <w:t>2</w:t>
        </w:r>
        <w:r w:rsidR="0061799E">
          <w:rPr>
            <w:noProof/>
          </w:rPr>
          <w:fldChar w:fldCharType="end"/>
        </w:r>
      </w:p>
    </w:sdtContent>
  </w:sdt>
  <w:p w14:paraId="6B546CA4" w14:textId="77777777" w:rsidR="0061799E" w:rsidRDefault="006179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3942A9" w14:textId="70F64B2B" w:rsidR="0061799E" w:rsidRDefault="0061799E">
    <w:pPr>
      <w:pStyle w:val="Header"/>
    </w:pPr>
    <w:r>
      <w:t xml:space="preserve">Running head: </w:t>
    </w:r>
    <w:r w:rsidR="00F66E82">
      <w:t>M</w:t>
    </w:r>
    <w:r w:rsidR="00452A41">
      <w:t>RS</w:t>
    </w:r>
    <w:r w:rsidR="00F66E82">
      <w:t>. BROWN CASE STUDY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C00"/>
    <w:rsid w:val="00046D7E"/>
    <w:rsid w:val="000844EA"/>
    <w:rsid w:val="000A24A6"/>
    <w:rsid w:val="000C3588"/>
    <w:rsid w:val="000E69E9"/>
    <w:rsid w:val="00156FE4"/>
    <w:rsid w:val="00167F63"/>
    <w:rsid w:val="001A322C"/>
    <w:rsid w:val="00206F33"/>
    <w:rsid w:val="0022546B"/>
    <w:rsid w:val="00265FD1"/>
    <w:rsid w:val="002B5576"/>
    <w:rsid w:val="00363A4A"/>
    <w:rsid w:val="00367B01"/>
    <w:rsid w:val="00374207"/>
    <w:rsid w:val="00412EDC"/>
    <w:rsid w:val="00433779"/>
    <w:rsid w:val="00452A41"/>
    <w:rsid w:val="0045619E"/>
    <w:rsid w:val="004B0B13"/>
    <w:rsid w:val="004F1380"/>
    <w:rsid w:val="005770D8"/>
    <w:rsid w:val="005A70AB"/>
    <w:rsid w:val="0061799E"/>
    <w:rsid w:val="00680733"/>
    <w:rsid w:val="006A0641"/>
    <w:rsid w:val="006C5264"/>
    <w:rsid w:val="00733EA0"/>
    <w:rsid w:val="007525B2"/>
    <w:rsid w:val="007848A9"/>
    <w:rsid w:val="00880E06"/>
    <w:rsid w:val="008B25AB"/>
    <w:rsid w:val="009646B6"/>
    <w:rsid w:val="00980319"/>
    <w:rsid w:val="009A2464"/>
    <w:rsid w:val="009D0BDC"/>
    <w:rsid w:val="00A67CEA"/>
    <w:rsid w:val="00AB329B"/>
    <w:rsid w:val="00AF6A0F"/>
    <w:rsid w:val="00B00809"/>
    <w:rsid w:val="00B064FE"/>
    <w:rsid w:val="00B252CF"/>
    <w:rsid w:val="00B37EF7"/>
    <w:rsid w:val="00B97FEE"/>
    <w:rsid w:val="00BA2D09"/>
    <w:rsid w:val="00BA2F9E"/>
    <w:rsid w:val="00BB2B67"/>
    <w:rsid w:val="00C64214"/>
    <w:rsid w:val="00CF0AD1"/>
    <w:rsid w:val="00CF5129"/>
    <w:rsid w:val="00CF53A8"/>
    <w:rsid w:val="00D764A1"/>
    <w:rsid w:val="00D8523B"/>
    <w:rsid w:val="00DC1AEF"/>
    <w:rsid w:val="00DC72A1"/>
    <w:rsid w:val="00DF43D8"/>
    <w:rsid w:val="00E138C4"/>
    <w:rsid w:val="00E46C00"/>
    <w:rsid w:val="00E61B9C"/>
    <w:rsid w:val="00E96116"/>
    <w:rsid w:val="00E963F8"/>
    <w:rsid w:val="00ED6738"/>
    <w:rsid w:val="00EE3A51"/>
    <w:rsid w:val="00EE3E11"/>
    <w:rsid w:val="00EF0B60"/>
    <w:rsid w:val="00F40164"/>
    <w:rsid w:val="00F66E82"/>
    <w:rsid w:val="00FA1407"/>
    <w:rsid w:val="00FB6306"/>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89BC30"/>
  <w15:chartTrackingRefBased/>
  <w15:docId w15:val="{CA2FD8D4-D3B2-4C60-B46D-462B64AED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0AD1"/>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Emphasis">
    <w:name w:val="Emphasis"/>
    <w:basedOn w:val="DefaultParagraphFont"/>
    <w:uiPriority w:val="20"/>
    <w:qFormat/>
    <w:rsid w:val="00CF0AD1"/>
    <w:rPr>
      <w:i/>
      <w:iCs/>
    </w:rPr>
  </w:style>
  <w:style w:type="character" w:styleId="Hyperlink">
    <w:name w:val="Hyperlink"/>
    <w:basedOn w:val="DefaultParagraphFont"/>
    <w:uiPriority w:val="99"/>
    <w:semiHidden/>
    <w:unhideWhenUsed/>
    <w:rsid w:val="00CF0AD1"/>
    <w:rPr>
      <w:color w:val="0000FF"/>
      <w:u w:val="single"/>
    </w:rPr>
  </w:style>
  <w:style w:type="paragraph" w:styleId="Header">
    <w:name w:val="header"/>
    <w:basedOn w:val="Normal"/>
    <w:link w:val="HeaderChar"/>
    <w:uiPriority w:val="99"/>
    <w:unhideWhenUsed/>
    <w:rsid w:val="006179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799E"/>
    <w:rPr>
      <w:lang w:val="en-US"/>
    </w:rPr>
  </w:style>
  <w:style w:type="paragraph" w:styleId="Footer">
    <w:name w:val="footer"/>
    <w:basedOn w:val="Normal"/>
    <w:link w:val="FooterChar"/>
    <w:uiPriority w:val="99"/>
    <w:unhideWhenUsed/>
    <w:rsid w:val="006179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799E"/>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1768784">
      <w:bodyDiv w:val="1"/>
      <w:marLeft w:val="0"/>
      <w:marRight w:val="0"/>
      <w:marTop w:val="0"/>
      <w:marBottom w:val="0"/>
      <w:divBdr>
        <w:top w:val="none" w:sz="0" w:space="0" w:color="auto"/>
        <w:left w:val="none" w:sz="0" w:space="0" w:color="auto"/>
        <w:bottom w:val="none" w:sz="0" w:space="0" w:color="auto"/>
        <w:right w:val="none" w:sz="0" w:space="0" w:color="auto"/>
      </w:divBdr>
    </w:div>
    <w:div w:id="1697148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22233/9781910443255.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urse.org/articles/arterial-blood-gas-tes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585</Words>
  <Characters>3337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K</dc:creator>
  <cp:keywords/>
  <dc:description/>
  <cp:lastModifiedBy>Joe K</cp:lastModifiedBy>
  <cp:revision>3</cp:revision>
  <dcterms:created xsi:type="dcterms:W3CDTF">2020-11-02T19:03:00Z</dcterms:created>
  <dcterms:modified xsi:type="dcterms:W3CDTF">2020-11-02T19:07:00Z</dcterms:modified>
</cp:coreProperties>
</file>